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F" w:rsidRDefault="0069783F" w:rsidP="0069783F">
      <w:pPr>
        <w:widowControl/>
        <w:spacing w:before="150" w:after="150" w:line="450" w:lineRule="atLeast"/>
        <w:jc w:val="center"/>
        <w:rPr>
          <w:rFonts w:asciiTheme="majorEastAsia" w:eastAsiaTheme="majorEastAsia" w:hAnsiTheme="majorEastAsia" w:cs="宋体"/>
          <w:b/>
          <w:kern w:val="0"/>
          <w:szCs w:val="21"/>
        </w:rPr>
      </w:pP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厦门</w:t>
      </w:r>
      <w:r w:rsidRPr="00E738A4">
        <w:rPr>
          <w:rFonts w:asciiTheme="majorEastAsia" w:eastAsiaTheme="majorEastAsia" w:hAnsiTheme="majorEastAsia" w:cs="宋体" w:hint="eastAsia"/>
          <w:b/>
          <w:kern w:val="0"/>
          <w:szCs w:val="21"/>
        </w:rPr>
        <w:t>信息集团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 xml:space="preserve">有限公司竞标出租房产明细表 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br/>
        <w:t>201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8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年第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2</w:t>
      </w:r>
      <w:r w:rsidRPr="00E738A4">
        <w:rPr>
          <w:rFonts w:asciiTheme="majorEastAsia" w:eastAsiaTheme="majorEastAsia" w:hAnsiTheme="majorEastAsia" w:cs="宋体"/>
          <w:b/>
          <w:kern w:val="0"/>
          <w:szCs w:val="21"/>
        </w:rPr>
        <w:t>期</w:t>
      </w:r>
      <w:r>
        <w:rPr>
          <w:rFonts w:asciiTheme="majorEastAsia" w:eastAsiaTheme="majorEastAsia" w:hAnsiTheme="majorEastAsia" w:cs="宋体" w:hint="eastAsia"/>
          <w:b/>
          <w:kern w:val="0"/>
          <w:szCs w:val="21"/>
        </w:rPr>
        <w:t>之一</w:t>
      </w:r>
    </w:p>
    <w:tbl>
      <w:tblPr>
        <w:tblW w:w="11140" w:type="dxa"/>
        <w:tblInd w:w="-1306" w:type="dxa"/>
        <w:tblLook w:val="04A0"/>
      </w:tblPr>
      <w:tblGrid>
        <w:gridCol w:w="558"/>
        <w:gridCol w:w="1075"/>
        <w:gridCol w:w="915"/>
        <w:gridCol w:w="2092"/>
        <w:gridCol w:w="1078"/>
        <w:gridCol w:w="1080"/>
        <w:gridCol w:w="1076"/>
        <w:gridCol w:w="1116"/>
        <w:gridCol w:w="1075"/>
        <w:gridCol w:w="1075"/>
      </w:tblGrid>
      <w:tr w:rsidR="0069783F" w:rsidRPr="000C6EB6" w:rsidTr="009C46B1">
        <w:trPr>
          <w:trHeight w:val="492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房屋建筑物坐落及名称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业</w:t>
            </w:r>
            <w:proofErr w:type="gramStart"/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态要求</w:t>
            </w:r>
            <w:proofErr w:type="gramEnd"/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报名条件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面积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竞标底价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竞标保证金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租赁年限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租赁保证金</w:t>
            </w:r>
          </w:p>
        </w:tc>
      </w:tr>
      <w:tr w:rsidR="0069783F" w:rsidRPr="000C6EB6" w:rsidTr="009C46B1">
        <w:trPr>
          <w:trHeight w:val="285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（元/月）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（元/㎡）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3C3C3C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3C3C3C"/>
                <w:kern w:val="0"/>
                <w:sz w:val="18"/>
                <w:szCs w:val="18"/>
              </w:rPr>
            </w:pPr>
          </w:p>
        </w:tc>
      </w:tr>
      <w:tr w:rsidR="0069783F" w:rsidRPr="000C6EB6" w:rsidTr="009C46B1">
        <w:trPr>
          <w:trHeight w:val="75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厦门软件园二期观日路52号109单元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除餐饮和便利店以外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1、具有投资能力及相应经营范围能力的独立法人资格的品牌企业。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207.65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18,688.50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112,131.00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5年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3个月租金 </w:t>
            </w:r>
          </w:p>
        </w:tc>
      </w:tr>
      <w:tr w:rsidR="0069783F" w:rsidRPr="000C6EB6" w:rsidTr="009C46B1">
        <w:trPr>
          <w:trHeight w:val="7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2、具备国家规定的合法有效的</w:t>
            </w:r>
            <w:proofErr w:type="gramStart"/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相应业</w:t>
            </w:r>
            <w:proofErr w:type="gramEnd"/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态经营许可等相关证书。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9783F" w:rsidRPr="000C6EB6" w:rsidTr="009C46B1">
        <w:trPr>
          <w:trHeight w:val="7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3、具有类似本项目</w:t>
            </w:r>
            <w:proofErr w:type="gramStart"/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业态直营</w:t>
            </w:r>
            <w:proofErr w:type="gramEnd"/>
            <w:r w:rsidRPr="000C6E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店不少于3家。 </w:t>
            </w: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783F" w:rsidRPr="000C6EB6" w:rsidRDefault="0069783F" w:rsidP="009C46B1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783F" w:rsidRPr="00565FD7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特别说明: </w:t>
      </w:r>
    </w:p>
    <w:p w:rsidR="0069783F" w:rsidRPr="00565FD7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1、租金从第二年起每年在前一年的基础上按3元/平方米递增.</w:t>
      </w:r>
    </w:p>
    <w:p w:rsidR="0069783F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2、凡拟意向报名参加本次竞租的竞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人，在日常经营管理中，如存在不良经营记录，被媒体曝光或存在投诉记录等不良行为的，不得参与本次竞租。</w:t>
      </w:r>
    </w:p>
    <w:p w:rsidR="0069783F" w:rsidRPr="00AD6E6F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3、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凡拟意向报名参加本次竞租的竞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租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人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，在“国家企业信用信息系统（www.gsxt.gov.cn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”中被列入经营异常名录信息、列入严重违法失信企业名单（黑名单）信息的，不得参与本次竞租。</w:t>
      </w:r>
    </w:p>
    <w:p w:rsidR="0069783F" w:rsidRPr="00565FD7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4</w:t>
      </w: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、软件园区经营的餐饮企业存在如下行为的，不得参与竞租。</w:t>
      </w:r>
    </w:p>
    <w:p w:rsidR="0069783F" w:rsidRPr="00565FD7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1） 经营过程存在被园区企业投诉，经我司协调沟通，仍未进行整改的，或整改未经过创新公司书面确认完成；</w:t>
      </w:r>
    </w:p>
    <w:p w:rsidR="0069783F" w:rsidRPr="00565FD7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 xml:space="preserve">   2） 经营使用过程中租赁物出现渗水、油污排放不规范，经我司发出整改通知，仍未进行整改的，或整改未经过创新公司书面确认完成； </w:t>
      </w:r>
    </w:p>
    <w:p w:rsidR="0069783F" w:rsidRDefault="0069783F" w:rsidP="0069783F">
      <w:pPr>
        <w:widowControl/>
        <w:spacing w:before="150" w:after="150" w:line="450" w:lineRule="atLeast"/>
        <w:rPr>
          <w:rFonts w:ascii="微软雅黑" w:eastAsia="微软雅黑" w:hAnsi="微软雅黑" w:cs="宋体"/>
          <w:b/>
          <w:kern w:val="0"/>
          <w:szCs w:val="21"/>
        </w:rPr>
      </w:pPr>
      <w:r w:rsidRPr="00565FD7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lastRenderedPageBreak/>
        <w:t xml:space="preserve">   3）不履行租赁合同条款，如欠缴租金等违约条款的</w:t>
      </w:r>
      <w:r w:rsidRPr="005945C4">
        <w:rPr>
          <w:rFonts w:ascii="微软雅黑" w:eastAsia="微软雅黑" w:hAnsi="微软雅黑" w:cs="宋体" w:hint="eastAsia"/>
          <w:b/>
          <w:kern w:val="0"/>
          <w:szCs w:val="21"/>
        </w:rPr>
        <w:t xml:space="preserve">。  </w:t>
      </w:r>
    </w:p>
    <w:p w:rsidR="00DF4CC6" w:rsidRPr="0069783F" w:rsidRDefault="00DF4CC6"/>
    <w:sectPr w:rsidR="00DF4CC6" w:rsidRPr="0069783F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83F"/>
    <w:rsid w:val="00053BCD"/>
    <w:rsid w:val="0069783F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3F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2018-07-18T06:52:00Z</dcterms:created>
  <dcterms:modified xsi:type="dcterms:W3CDTF">2018-07-18T06:52:00Z</dcterms:modified>
</cp:coreProperties>
</file>